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02" w:rsidRPr="000B0602" w:rsidRDefault="000B0602" w:rsidP="000B0602">
      <w:pPr>
        <w:shd w:val="clear" w:color="auto" w:fill="FFFFFF"/>
        <w:spacing w:after="100" w:afterAutospacing="1" w:line="240" w:lineRule="auto"/>
        <w:jc w:val="center"/>
        <w:rPr>
          <w:rFonts w:ascii="Arial" w:eastAsia="Times New Roman" w:hAnsi="Arial" w:cs="Arial"/>
          <w:b/>
          <w:color w:val="333333"/>
          <w:sz w:val="24"/>
          <w:szCs w:val="24"/>
          <w:lang w:val="es-CO"/>
        </w:rPr>
      </w:pPr>
      <w:r w:rsidRPr="000B0602">
        <w:rPr>
          <w:rFonts w:ascii="Arial" w:eastAsia="Times New Roman" w:hAnsi="Arial" w:cs="Arial"/>
          <w:b/>
          <w:color w:val="333333"/>
          <w:sz w:val="24"/>
          <w:szCs w:val="24"/>
          <w:lang w:val="es-CO"/>
        </w:rPr>
        <w:t>DEPARTAMENTO ADMINISTRATIVO DE LA FUNCIÓN PÚBLICA</w:t>
      </w:r>
    </w:p>
    <w:p w:rsidR="000B0602" w:rsidRPr="000B0602" w:rsidRDefault="000B0602" w:rsidP="000B0602">
      <w:pPr>
        <w:shd w:val="clear" w:color="auto" w:fill="FFFFFF"/>
        <w:spacing w:after="100" w:afterAutospacing="1" w:line="240" w:lineRule="auto"/>
        <w:jc w:val="center"/>
        <w:rPr>
          <w:rFonts w:ascii="Arial" w:eastAsia="Times New Roman" w:hAnsi="Arial" w:cs="Arial"/>
          <w:b/>
          <w:color w:val="333333"/>
          <w:sz w:val="24"/>
          <w:szCs w:val="24"/>
          <w:lang w:val="es-CO"/>
        </w:rPr>
      </w:pPr>
      <w:r w:rsidRPr="000B0602">
        <w:rPr>
          <w:rFonts w:ascii="Arial" w:eastAsia="Times New Roman" w:hAnsi="Arial" w:cs="Arial"/>
          <w:b/>
          <w:color w:val="333333"/>
          <w:sz w:val="24"/>
          <w:szCs w:val="24"/>
          <w:lang w:val="es-CO"/>
        </w:rPr>
        <w:t>CONCEPTO 153451</w:t>
      </w:r>
    </w:p>
    <w:p w:rsid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Fecha: 22/04/2022.</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Bogotá D.C.</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b/>
          <w:bCs/>
          <w:color w:val="333333"/>
          <w:sz w:val="24"/>
          <w:szCs w:val="24"/>
          <w:lang w:val="es-CO"/>
        </w:rPr>
        <w:t>REF: ACOSO LABORAL. </w:t>
      </w:r>
      <w:r w:rsidRPr="000B0602">
        <w:rPr>
          <w:rFonts w:ascii="Arial" w:eastAsia="Times New Roman" w:hAnsi="Arial" w:cs="Arial"/>
          <w:color w:val="333333"/>
          <w:sz w:val="24"/>
          <w:szCs w:val="24"/>
          <w:lang w:val="es-CO"/>
        </w:rPr>
        <w:t>Procedimiento.</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Acuso recibo de la comunicación de la referencia, a través de la cual consulta “Deseo saber en el sector público, cuánto tiempo tiene el Comité de Convivencia Laboral para atender una solicitud sobre presunto acoso laboral; y qué debo hacer si el comité no interviene dentro del término establecido” al respecto, es pertinente señalar:</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Me permito darle respuesta, teniendo en cuenta el Decreto </w:t>
      </w:r>
      <w:hyperlink r:id="rId4" w:anchor="430" w:tooltip="vinculo" w:history="1">
        <w:r w:rsidRPr="000B0602">
          <w:rPr>
            <w:rFonts w:ascii="Arial" w:eastAsia="Times New Roman" w:hAnsi="Arial" w:cs="Arial"/>
            <w:color w:val="007BFF"/>
            <w:sz w:val="24"/>
            <w:szCs w:val="24"/>
            <w:u w:val="single"/>
            <w:lang w:val="es-CO"/>
          </w:rPr>
          <w:t>430</w:t>
        </w:r>
      </w:hyperlink>
      <w:r w:rsidRPr="000B0602">
        <w:rPr>
          <w:rFonts w:ascii="Arial" w:eastAsia="Times New Roman" w:hAnsi="Arial" w:cs="Arial"/>
          <w:color w:val="333333"/>
          <w:sz w:val="24"/>
          <w:szCs w:val="24"/>
          <w:lang w:val="es-CO"/>
        </w:rPr>
        <w:t> de 2016, donde se establece que el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Las competencias relativas a establecer las directrices jurídicas para la aplicación de las normas por parte de la entidad y demás organismos y entidades de la administración pública en materia de régimen de administración de personal se formaliza, entre otros, a través de conceptos jurídicos, que guardan directa relación con la interpretación general de aquellas expresiones que ofrezcan algún grado de dificultad en su comprensión o aplicación, sin que tales atribuciones comporten, de manera alguna, la definición de casos particulares que se presenten al interior de las diferentes entidades.</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En ese sentido, la resolución de los casos particulares corresponderá en todos los casos a la autoridad empleadora y nominadora, en cuanto es la instancia que conoce de manera cierta y documentada la situación particular de su personal y, además, en desarrollo de los principios de la especialización presupuestal y de la autonomía administrativa, constituye el único órgano llamado a producir una declaración de voluntad con efectos vinculantes en el mundo del derecho; o a los Jueces de la República, en el caso de controversia entre la entidad y el empleado. Razón por la cual, no es de nuestra competencia intervenir en situaciones internas de las entidades, actuar como ente de control, investigación, ni señalar los procedimientos a seguir en caso de que se presenten anomalías al interior de las entidades.</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lastRenderedPageBreak/>
        <w:t>No obstante, a manera de orientación, la Ley </w:t>
      </w:r>
      <w:hyperlink r:id="rId5" w:anchor="1010" w:tooltip="vinculo" w:history="1">
        <w:r w:rsidRPr="000B0602">
          <w:rPr>
            <w:rFonts w:ascii="Arial" w:eastAsia="Times New Roman" w:hAnsi="Arial" w:cs="Arial"/>
            <w:color w:val="007BFF"/>
            <w:sz w:val="24"/>
            <w:szCs w:val="24"/>
            <w:u w:val="single"/>
            <w:lang w:val="es-CO"/>
          </w:rPr>
          <w:t>1010</w:t>
        </w:r>
      </w:hyperlink>
      <w:r w:rsidRPr="000B0602">
        <w:rPr>
          <w:rFonts w:ascii="Arial" w:eastAsia="Times New Roman" w:hAnsi="Arial" w:cs="Arial"/>
          <w:color w:val="333333"/>
          <w:sz w:val="24"/>
          <w:szCs w:val="24"/>
          <w:lang w:val="es-CO"/>
        </w:rPr>
        <w:t> de 2006, definió el acoso laboral y determinó las modalidades generales como maltrato laboral, persecución laboral, discriminación laboral, entorpecimiento laboral, inequidad laboral y desprotección laboral. También señala que los reglamentos de trabajo de las empresas e instituciones deberán prever mecanismos de prevención de las conductas de acoso laboral y establecer un procedimiento interno, confidencial, conciliatorio y efectivo para superar las que ocurran en el lugar de trabajo. De igual manera previó unas garantías en favor del quejoso en una presunta situación de acoso laboral con el fin de evitar actos de represalia.</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Específicamente, en su artículo primero la Ley </w:t>
      </w:r>
      <w:hyperlink r:id="rId6" w:anchor="1010" w:tooltip="vinculo" w:history="1">
        <w:r w:rsidRPr="000B0602">
          <w:rPr>
            <w:rFonts w:ascii="Arial" w:eastAsia="Times New Roman" w:hAnsi="Arial" w:cs="Arial"/>
            <w:color w:val="007BFF"/>
            <w:sz w:val="24"/>
            <w:szCs w:val="24"/>
            <w:u w:val="single"/>
            <w:lang w:val="es-CO"/>
          </w:rPr>
          <w:t>1010</w:t>
        </w:r>
      </w:hyperlink>
      <w:r w:rsidRPr="000B0602">
        <w:rPr>
          <w:rFonts w:ascii="Arial" w:eastAsia="Times New Roman" w:hAnsi="Arial" w:cs="Arial"/>
          <w:color w:val="333333"/>
          <w:sz w:val="24"/>
          <w:szCs w:val="24"/>
          <w:lang w:val="es-CO"/>
        </w:rPr>
        <w:t> de 2006 que su objetivo es definir, prevenir, corregir y sancionar diversas formas de agresión, maltrato, vejámenes, trato desconsiderado y ofensivo y en general todo ultraje a la dignidad humana que se ejercen sobre quienes realizan sus actividades económicas en el contexto de una relación laboral privada o pública. En consecuencia, de acuerdo con el artículo 6 de la pre-citada ley consagra claramente como sujetos activos o autores de acoso:</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La persona natural que se desempeñe como gerente, jefe, director, supervisor o cualquier otra posición de dirección y mando en una empresa u organización en la cual haya relaciones laborales regidas por el Código Sustantivo del Trabajo;</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La persona natural que se desempeñe como superior jerárquico o tenga la calidad de jefe de una dependencia estatal;</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La persona natural que se desempeñe como trabajador o empleado. Son sujetos pasivos o víctimas del acoso laboral;</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Los trabajadores o empleados vinculados a una relación laboral de trabajo en el sector privado;</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Los servidores públicos, tanto empleados públicos como trabajadores oficiales y servidores con régimen especial que se desempeñen en una dependencia pública;</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Los jefes inmediatos cuando el acoso provenga de sus subalternos. Son sujetos partícipes del acoso laboral:</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La persona natural que como empleador promueva, induzca o favorezca el acoso laboral;</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La persona natural que omita cumplir los requerimientos o amonestaciones que se profieran por los Inspectores de Trabajo en los términos de la presente ley”</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Por su parte, la Resolución 652 de 2012 establece la conformación y funcionamiento del Comité de Convivencia laboral en entidades públicas y empresas privadas. Las funciones se encuentran consagradas en su artículo 6 de la siguiente forma:</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lastRenderedPageBreak/>
        <w:t>1. Recibir y dar trámite a las quejas presentadas en las que se describan situaciones que puedan constituir acoso laboral, así como las pruebas que las soportan.</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2. Examinar de manera confidencial los casos específicos o puntuales en los que se formule queja o reclamo, que pudieran tipificar conductas o circunstancias de acoso laboral, al interior de la entidad pública o empresa privada.</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3. Escuchar a las partes involucradas de manera individual sobre los hechos que dieron lugar a la queja.</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4. Adelantar reuniones con el fin de crear un espacio de diálogo entre las partes involucradas, promoviendo compromisos mutuos para llegar a una solución efectiva de las controversias.</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5. Formular un plan de mejora concertado entre las partes, para construir, renovar y promover la convivencia laboral, garantizando en todos los casos el principio de la confidencialidad.</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6. Hacer seguimiento a los compromisos adquiridos por las partes involucradas en la queja, verificando su cumplimiento de acuerdo con lo pactado.</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7. En aquellos casos en que no se llegue a un acuerdo entre las partes, no se cumplan las recomendaciones formuladas o la conducta persista, el Comité de Convivencia Laboral, deberá remitir la queja a la Procuraduría General de la Nación, tratándose del sector público. En el sector privado, el Comité informará a la alta dirección de la empresa, cerrará el caso y el trabajador puede presentar la queja ante el inspector de trabajo o demandar ante el juez competente.</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8. Presentar a la alta dirección de la entidad pública o la empresa privada las recomendaciones para el desarrollo efectivo de las medidas preventivas y correctivas del acoso laboral, así como el informe anual de resultados de la gestión del comité de convivencia laboral y los informes requeridos por los organismos de control.</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9. Hacer seguimiento al cumplimiento de las recomendaciones dadas por el Comité de Convivencia a las dependencias de gestión del recurso humano y salud ocupacional de las empresas e instituciones públicas y privadas.</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10. Elaborar informes trimestrales sobre la gestión del Comité que incluya estadísticas de las quejas, seguimiento de los casos y recomendaciones, los cuales serán presentados a la alta dirección de la entidad pública o empresa privada”.</w:t>
      </w:r>
    </w:p>
    <w:p w:rsid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De acuerdo con esto, la ley de acoso laboral tiene su alcance dentro del ámbito de las relaciones laborales y de subordinación.</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lastRenderedPageBreak/>
        <w:t>A su vez, el artículo 9 de la ya mencionada Ley </w:t>
      </w:r>
      <w:hyperlink r:id="rId7" w:anchor="1010" w:tooltip="vinculo" w:history="1">
        <w:r w:rsidRPr="000B0602">
          <w:rPr>
            <w:rFonts w:ascii="Arial" w:eastAsia="Times New Roman" w:hAnsi="Arial" w:cs="Arial"/>
            <w:color w:val="007BFF"/>
            <w:sz w:val="24"/>
            <w:szCs w:val="24"/>
            <w:u w:val="single"/>
            <w:lang w:val="es-CO"/>
          </w:rPr>
          <w:t>1010 </w:t>
        </w:r>
      </w:hyperlink>
      <w:r w:rsidRPr="000B0602">
        <w:rPr>
          <w:rFonts w:ascii="Arial" w:eastAsia="Times New Roman" w:hAnsi="Arial" w:cs="Arial"/>
          <w:color w:val="333333"/>
          <w:sz w:val="24"/>
          <w:szCs w:val="24"/>
          <w:lang w:val="es-CO"/>
        </w:rPr>
        <w:t>de 2006, establece:</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b/>
          <w:bCs/>
          <w:color w:val="333333"/>
          <w:sz w:val="24"/>
          <w:szCs w:val="24"/>
          <w:lang w:val="es-CO"/>
        </w:rPr>
        <w:t>-</w:t>
      </w:r>
      <w:r w:rsidRPr="000B0602">
        <w:rPr>
          <w:rFonts w:ascii="Arial" w:eastAsia="Times New Roman" w:hAnsi="Arial" w:cs="Arial"/>
          <w:color w:val="333333"/>
          <w:sz w:val="24"/>
          <w:szCs w:val="24"/>
          <w:lang w:val="es-CO"/>
        </w:rPr>
        <w:t> </w:t>
      </w:r>
      <w:r w:rsidRPr="000B0602">
        <w:rPr>
          <w:rFonts w:ascii="Arial" w:eastAsia="Times New Roman" w:hAnsi="Arial" w:cs="Arial"/>
          <w:color w:val="333333"/>
          <w:sz w:val="24"/>
          <w:szCs w:val="24"/>
          <w:u w:val="single"/>
          <w:lang w:val="es-CO"/>
        </w:rPr>
        <w:t>El Comité de Convivencia Laboral se reunirá ordinariamente cada tres (3) meses</w:t>
      </w:r>
      <w:r w:rsidRPr="000B0602">
        <w:rPr>
          <w:rFonts w:ascii="Arial" w:eastAsia="Times New Roman" w:hAnsi="Arial" w:cs="Arial"/>
          <w:color w:val="333333"/>
          <w:sz w:val="24"/>
          <w:szCs w:val="24"/>
          <w:lang w:val="es-CO"/>
        </w:rPr>
        <w:t> y sesionará con la mitad más uno de sus integrantes y extraordinariamente cuando se presenten casos que requieran de su inmediata intervención y podrá ser convocado por cualquiera de sus integrantes” (Subraya propia)</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De esta forma, y dando respuesta a su primera consulta, el comité es una instancia al interior de la entidad que está llamada a actuar como tercero neutral en la construcción de un acuerdo por parte de las partes implicadas, para lograr armonía entre las personas que conviven en el ambiente laboral. Ordinariamente, las reuniones del comité se realizarán cada tres meses donde se dará trámite a las quejas presentadas.</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En mismo sentido, la Procuraduría General de la Nación mediante consulta C-222 – 2019 consagró:</w:t>
      </w:r>
      <w:bookmarkStart w:id="0" w:name="_GoBack"/>
      <w:bookmarkEnd w:id="0"/>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En cuanto a los casos de acoso laboral que deben ponerse en conocimiento de la PGN, se colige del contenido del artículo 9.°, numerales 1.° y 2.° del parágrafo 2.°, de la Ley </w:t>
      </w:r>
      <w:hyperlink r:id="rId8" w:anchor="1010" w:tooltip="vinculo" w:history="1">
        <w:r w:rsidRPr="000B0602">
          <w:rPr>
            <w:rFonts w:ascii="Arial" w:eastAsia="Times New Roman" w:hAnsi="Arial" w:cs="Arial"/>
            <w:color w:val="007BFF"/>
            <w:sz w:val="24"/>
            <w:szCs w:val="24"/>
            <w:u w:val="single"/>
            <w:lang w:val="es-CO"/>
          </w:rPr>
          <w:t>1010</w:t>
        </w:r>
      </w:hyperlink>
      <w:r w:rsidRPr="000B0602">
        <w:rPr>
          <w:rFonts w:ascii="Arial" w:eastAsia="Times New Roman" w:hAnsi="Arial" w:cs="Arial"/>
          <w:color w:val="333333"/>
          <w:sz w:val="24"/>
          <w:szCs w:val="24"/>
          <w:lang w:val="es-CO"/>
        </w:rPr>
        <w:t> de 2006, que resulta indispensable que el Comité de Convivencia Laboral agote el procedimiento interno, y si se supera «amigablemente la situación de acoso laboral, no habría lugar a remitir —por sana lógica— los documentos relacionados con dicha conciliación para que se persiga disciplinariamente al sujeto activo de dicha persecución o malos tratos; pero, en cambio, si se vulnera lo acordado sí debe conocer el asunto la Procuraduría General de la Nación o las personerías, según el caso». En esta misma línea, en la consulta C-106 – 15 consta lo siguiente:</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La Ley </w:t>
      </w:r>
      <w:hyperlink r:id="rId9" w:anchor="1010" w:tooltip="vinculo" w:history="1">
        <w:r w:rsidRPr="000B0602">
          <w:rPr>
            <w:rFonts w:ascii="Arial" w:eastAsia="Times New Roman" w:hAnsi="Arial" w:cs="Arial"/>
            <w:color w:val="007BFF"/>
            <w:sz w:val="24"/>
            <w:szCs w:val="24"/>
            <w:u w:val="single"/>
            <w:lang w:val="es-CO"/>
          </w:rPr>
          <w:t>1010</w:t>
        </w:r>
      </w:hyperlink>
      <w:r w:rsidRPr="000B0602">
        <w:rPr>
          <w:rFonts w:ascii="Arial" w:eastAsia="Times New Roman" w:hAnsi="Arial" w:cs="Arial"/>
          <w:color w:val="333333"/>
          <w:sz w:val="24"/>
          <w:szCs w:val="24"/>
          <w:lang w:val="es-CO"/>
        </w:rPr>
        <w:t xml:space="preserve"> de 2006 fue clara en su intención de crear mecanismos de carácter preventivo y correctivo, antes del sancionatorio. Esta apreciación es fácilmente determinable en los artículos </w:t>
      </w:r>
      <w:proofErr w:type="gramStart"/>
      <w:r w:rsidRPr="000B0602">
        <w:rPr>
          <w:rFonts w:ascii="Arial" w:eastAsia="Times New Roman" w:hAnsi="Arial" w:cs="Arial"/>
          <w:color w:val="333333"/>
          <w:sz w:val="24"/>
          <w:szCs w:val="24"/>
          <w:lang w:val="es-CO"/>
        </w:rPr>
        <w:t>1.°</w:t>
      </w:r>
      <w:proofErr w:type="gramEnd"/>
      <w:r w:rsidRPr="000B0602">
        <w:rPr>
          <w:rFonts w:ascii="Arial" w:eastAsia="Times New Roman" w:hAnsi="Arial" w:cs="Arial"/>
          <w:color w:val="333333"/>
          <w:sz w:val="24"/>
          <w:szCs w:val="24"/>
          <w:lang w:val="es-CO"/>
        </w:rPr>
        <w:t xml:space="preserve"> y 9.° de la norma citada […]. Del articulado antes señalado se puede deducir que las denuncias de acoso laboral están sujetas a un procedimiento especial que es previo al inicio de la acción disciplinaria, […] tal como en su momento lo describió la circular N° 020 del 2007, proferida por la Procuraduría General de la Nación, en la que señaló […] «5. Cuando la entidad pública hubiere agotado el procedimiento preventivo y éste culmine con la recomendación de una medida correctiva que efectivamente se adopte y supere la situación de acoso laboral en la entidad, las diligencias se archivarán en la entidad y se abstendrán de remitirlas a este organismo de control»</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Lo que explica la circular es que la acción disciplinaria solamente es procedente para los casos en los cuales no haya acuerdo conciliatorio sobre la conducta que se estima como de acoso laboral, pues en caso [de] que el mecanismo preventivo surta su fin con el acuerdo respectivo, la entidad a la cual pertenecen los servidores públicos debe proceder al archivo de las diligencias.</w:t>
      </w:r>
    </w:p>
    <w:p w:rsid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p>
    <w:p w:rsid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En suma, solo deben ponerse en conocimiento de la Procuraduría General de la Nación aquellos casos en los que no se logre el acuerdo entre las partes, no se atiendan las recomendaciones formuladas o la conducta persista.</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Por ende, cuando el Comité de Convivencia Laboral de la respectiva entidad pública haya agotado el procedimiento preventivo, sin que se hubiese superado la situación de acoso laboral, deberá proceder a remitir lo actuado a la Procuraduría General de la Nación, entidad a la que le corresponde ejercer, de manera exclusiva, el poder disciplinario en estos casos, acorde con las competencias internas definidas en el Decreto Ley </w:t>
      </w:r>
      <w:hyperlink r:id="rId10" w:anchor="262" w:tooltip="vinculo" w:history="1">
        <w:r w:rsidRPr="000B0602">
          <w:rPr>
            <w:rFonts w:ascii="Arial" w:eastAsia="Times New Roman" w:hAnsi="Arial" w:cs="Arial"/>
            <w:color w:val="007BFF"/>
            <w:sz w:val="24"/>
            <w:szCs w:val="24"/>
            <w:u w:val="single"/>
            <w:lang w:val="es-CO"/>
          </w:rPr>
          <w:t>262</w:t>
        </w:r>
      </w:hyperlink>
      <w:r w:rsidRPr="000B0602">
        <w:rPr>
          <w:rFonts w:ascii="Arial" w:eastAsia="Times New Roman" w:hAnsi="Arial" w:cs="Arial"/>
          <w:color w:val="333333"/>
          <w:sz w:val="24"/>
          <w:szCs w:val="24"/>
          <w:lang w:val="es-CO"/>
        </w:rPr>
        <w:t> de 2000”</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Así, de conformidad con lo señalado a lo largo del concepto, la autoridad competente para pronunciarse en torno a los presuntos actos de acoso laboral es el Comité de Convivencia Laboral o la instancia creada para tal fin por la Administración. En este orden de ideas, y de acuerdo con lo citado anteriormente, la Ley </w:t>
      </w:r>
      <w:hyperlink r:id="rId11" w:anchor="1010" w:tooltip="vinculo" w:history="1">
        <w:r w:rsidRPr="000B0602">
          <w:rPr>
            <w:rFonts w:ascii="Arial" w:eastAsia="Times New Roman" w:hAnsi="Arial" w:cs="Arial"/>
            <w:color w:val="007BFF"/>
            <w:sz w:val="24"/>
            <w:szCs w:val="24"/>
            <w:u w:val="single"/>
            <w:lang w:val="es-CO"/>
          </w:rPr>
          <w:t>1010</w:t>
        </w:r>
      </w:hyperlink>
      <w:r w:rsidRPr="000B0602">
        <w:rPr>
          <w:rFonts w:ascii="Arial" w:eastAsia="Times New Roman" w:hAnsi="Arial" w:cs="Arial"/>
          <w:color w:val="333333"/>
          <w:sz w:val="24"/>
          <w:szCs w:val="24"/>
          <w:lang w:val="es-CO"/>
        </w:rPr>
        <w:t> de 2006 consagra que las personas naturales son las únicas que pueden ser sujetos activos o autores de conductas de acoso. De esta manera, el Comité de Convivencia Laboral de la entidad donde el funcionario contra el cual se presenta la queja de acoso, es el responsable, de acuerdo con el pronunciamiento de la Procuraduría General de la Nación y el artículo 6 de la Resolución 652 de 2012, este debe adelantar y agotar todos los procedimientos preventivos sobre los cuales tiene competencia.</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Así mismo, para agotar el procedimiento preventivo deberá hacerlo acorde con el procedimiento establecido por el reglamento interno para tal fin, lo dispuesto en la Ley </w:t>
      </w:r>
      <w:hyperlink r:id="rId12" w:anchor="1010" w:tooltip="vinculo" w:history="1">
        <w:r w:rsidRPr="000B0602">
          <w:rPr>
            <w:rFonts w:ascii="Arial" w:eastAsia="Times New Roman" w:hAnsi="Arial" w:cs="Arial"/>
            <w:color w:val="007BFF"/>
            <w:sz w:val="24"/>
            <w:szCs w:val="24"/>
            <w:u w:val="single"/>
            <w:lang w:val="es-CO"/>
          </w:rPr>
          <w:t>1010</w:t>
        </w:r>
      </w:hyperlink>
      <w:r w:rsidRPr="000B0602">
        <w:rPr>
          <w:rFonts w:ascii="Arial" w:eastAsia="Times New Roman" w:hAnsi="Arial" w:cs="Arial"/>
          <w:color w:val="333333"/>
          <w:sz w:val="24"/>
          <w:szCs w:val="24"/>
          <w:lang w:val="es-CO"/>
        </w:rPr>
        <w:t> de 2006, la Resolución 652 de 2012 y respetando los preceptos constitucionales.</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Por lo que, contestando su segundo interrogante, en caso de incumplimiento de los acuerdos a los que se llegue en el Comité de Convivencia </w:t>
      </w:r>
      <w:r w:rsidRPr="000B0602">
        <w:rPr>
          <w:rFonts w:ascii="Arial" w:eastAsia="Times New Roman" w:hAnsi="Arial" w:cs="Arial"/>
          <w:color w:val="333333"/>
          <w:sz w:val="24"/>
          <w:szCs w:val="24"/>
          <w:u w:val="single"/>
          <w:lang w:val="es-CO"/>
        </w:rPr>
        <w:t>o por la inoperancia del mismo</w:t>
      </w:r>
      <w:r w:rsidRPr="000B0602">
        <w:rPr>
          <w:rFonts w:ascii="Arial" w:eastAsia="Times New Roman" w:hAnsi="Arial" w:cs="Arial"/>
          <w:color w:val="333333"/>
          <w:sz w:val="24"/>
          <w:szCs w:val="24"/>
          <w:lang w:val="es-CO"/>
        </w:rPr>
        <w:t>, puede acudir a la Procuraduría General de la Nación, para que ejerza su poder disciplinario, si considera que hay mérito para tal.</w:t>
      </w:r>
    </w:p>
    <w:p w:rsid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Para mayor información respecto de las normas de administración de los empleados del sector público; así como las inhabilidades e incompatibilidades aplicables a los mismos, me permito indicar que en el link </w:t>
      </w:r>
      <w:hyperlink r:id="rId13" w:history="1">
        <w:r w:rsidRPr="000B0602">
          <w:rPr>
            <w:rFonts w:ascii="Arial" w:eastAsia="Times New Roman" w:hAnsi="Arial" w:cs="Arial"/>
            <w:color w:val="007BFF"/>
            <w:sz w:val="24"/>
            <w:szCs w:val="24"/>
            <w:u w:val="single"/>
            <w:lang w:val="es-CO"/>
          </w:rPr>
          <w:t>/</w:t>
        </w:r>
        <w:proofErr w:type="spellStart"/>
        <w:r w:rsidRPr="000B0602">
          <w:rPr>
            <w:rFonts w:ascii="Arial" w:eastAsia="Times New Roman" w:hAnsi="Arial" w:cs="Arial"/>
            <w:color w:val="007BFF"/>
            <w:sz w:val="24"/>
            <w:szCs w:val="24"/>
            <w:u w:val="single"/>
            <w:lang w:val="es-CO"/>
          </w:rPr>
          <w:t>eva</w:t>
        </w:r>
        <w:proofErr w:type="spellEnd"/>
        <w:r w:rsidRPr="000B0602">
          <w:rPr>
            <w:rFonts w:ascii="Arial" w:eastAsia="Times New Roman" w:hAnsi="Arial" w:cs="Arial"/>
            <w:color w:val="007BFF"/>
            <w:sz w:val="24"/>
            <w:szCs w:val="24"/>
            <w:u w:val="single"/>
            <w:lang w:val="es-CO"/>
          </w:rPr>
          <w:t>/es/gestor-normativo</w:t>
        </w:r>
      </w:hyperlink>
      <w:r w:rsidRPr="000B0602">
        <w:rPr>
          <w:rFonts w:ascii="Arial" w:eastAsia="Times New Roman" w:hAnsi="Arial" w:cs="Arial"/>
          <w:color w:val="333333"/>
          <w:sz w:val="24"/>
          <w:szCs w:val="24"/>
          <w:lang w:val="es-CO"/>
        </w:rPr>
        <w:t> podrá encontrar conceptos relacionados con el tema, que han sido emitidos por esta Dirección Jurídica.</w:t>
      </w:r>
    </w:p>
    <w:p w:rsid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p>
    <w:p w:rsid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lastRenderedPageBreak/>
        <w:t>El anterior concepto se emite en los términos establecidos en el artículo 28° del Código de Procedimiento Administrativo y de lo Contencioso Administrativo.</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b/>
          <w:bCs/>
          <w:color w:val="333333"/>
          <w:sz w:val="24"/>
          <w:szCs w:val="24"/>
          <w:lang w:val="es-CO"/>
        </w:rPr>
        <w:t>ARMANDO LÓPEZ CORTES</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Director Jurídico</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Proyectó: Juanita Salcedo Silva</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Revisó: Harold Herreño S.</w:t>
      </w:r>
    </w:p>
    <w:p w:rsidR="000B0602" w:rsidRPr="000B0602" w:rsidRDefault="000B0602" w:rsidP="000B0602">
      <w:pPr>
        <w:shd w:val="clear" w:color="auto" w:fill="FFFFFF"/>
        <w:spacing w:after="100" w:afterAutospacing="1" w:line="240" w:lineRule="auto"/>
        <w:jc w:val="both"/>
        <w:rPr>
          <w:rFonts w:ascii="Arial" w:eastAsia="Times New Roman" w:hAnsi="Arial" w:cs="Arial"/>
          <w:color w:val="333333"/>
          <w:sz w:val="24"/>
          <w:szCs w:val="24"/>
          <w:lang w:val="es-CO"/>
        </w:rPr>
      </w:pPr>
      <w:r w:rsidRPr="000B0602">
        <w:rPr>
          <w:rFonts w:ascii="Arial" w:eastAsia="Times New Roman" w:hAnsi="Arial" w:cs="Arial"/>
          <w:color w:val="333333"/>
          <w:sz w:val="24"/>
          <w:szCs w:val="24"/>
          <w:lang w:val="es-CO"/>
        </w:rPr>
        <w:t>Aprobó: Armando López</w:t>
      </w:r>
    </w:p>
    <w:p w:rsidR="007C1C14" w:rsidRPr="000B0602" w:rsidRDefault="007C1C14" w:rsidP="000B0602">
      <w:pPr>
        <w:jc w:val="both"/>
        <w:rPr>
          <w:rFonts w:ascii="Arial" w:hAnsi="Arial" w:cs="Arial"/>
          <w:sz w:val="24"/>
          <w:szCs w:val="24"/>
          <w:lang w:val="es-CO"/>
        </w:rPr>
      </w:pPr>
    </w:p>
    <w:sectPr w:rsidR="007C1C14" w:rsidRPr="000B06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02"/>
    <w:rsid w:val="000B0602"/>
    <w:rsid w:val="007C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ACE3"/>
  <w15:chartTrackingRefBased/>
  <w15:docId w15:val="{2C566263-19CE-46E7-8450-C39F7189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B0602"/>
    <w:rPr>
      <w:b/>
      <w:bCs/>
    </w:rPr>
  </w:style>
  <w:style w:type="character" w:styleId="Hipervnculo">
    <w:name w:val="Hyperlink"/>
    <w:basedOn w:val="Fuentedeprrafopredeter"/>
    <w:uiPriority w:val="99"/>
    <w:semiHidden/>
    <w:unhideWhenUsed/>
    <w:rsid w:val="000B06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8843" TargetMode="External"/><Relationship Id="rId13" Type="http://schemas.openxmlformats.org/officeDocument/2006/relationships/hyperlink" Target="https://www.funcionpublica.gov.co/eva/es/gestor-normativo" TargetMode="External"/><Relationship Id="rId3" Type="http://schemas.openxmlformats.org/officeDocument/2006/relationships/webSettings" Target="webSettings.xml"/><Relationship Id="rId7" Type="http://schemas.openxmlformats.org/officeDocument/2006/relationships/hyperlink" Target="https://www.funcionpublica.gov.co/eva/gestornormativo/norma.php?i=18843" TargetMode="External"/><Relationship Id="rId12" Type="http://schemas.openxmlformats.org/officeDocument/2006/relationships/hyperlink" Target="https://www.funcionpublica.gov.co/eva/gestornormativo/norma.php?i=188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cionpublica.gov.co/eva/gestornormativo/norma.php?i=18843" TargetMode="External"/><Relationship Id="rId11" Type="http://schemas.openxmlformats.org/officeDocument/2006/relationships/hyperlink" Target="https://www.funcionpublica.gov.co/eva/gestornormativo/norma.php?i=18843" TargetMode="External"/><Relationship Id="rId5" Type="http://schemas.openxmlformats.org/officeDocument/2006/relationships/hyperlink" Target="https://www.funcionpublica.gov.co/eva/gestornormativo/norma.php?i=18843" TargetMode="External"/><Relationship Id="rId15" Type="http://schemas.openxmlformats.org/officeDocument/2006/relationships/theme" Target="theme/theme1.xml"/><Relationship Id="rId10" Type="http://schemas.openxmlformats.org/officeDocument/2006/relationships/hyperlink" Target="https://www.funcionpublica.gov.co/eva/gestornormativo/norma.php?i=40618" TargetMode="External"/><Relationship Id="rId4" Type="http://schemas.openxmlformats.org/officeDocument/2006/relationships/hyperlink" Target="https://www.funcionpublica.gov.co/eva/gestornormativo/norma.php?i=68813" TargetMode="External"/><Relationship Id="rId9" Type="http://schemas.openxmlformats.org/officeDocument/2006/relationships/hyperlink" Target="https://www.funcionpublica.gov.co/eva/gestornormativo/norma.php?i=1884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2076</Words>
  <Characters>11836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2023-01-19T19:39:00Z</dcterms:created>
  <dcterms:modified xsi:type="dcterms:W3CDTF">2023-01-19T19:46:00Z</dcterms:modified>
</cp:coreProperties>
</file>